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spacing w:after="180"/>
      </w:pPr>
      <w:r>
        <w:rPr>
          <w:b/>
          <w:color w:val="111827"/>
          <w:sz w:val="44"/>
        </w:rPr>
        <w:t>CircuitProof</w:t>
      </w:r>
    </w:p>
    <w:p>
      <w:pPr>
        <w:spacing w:after="180"/>
      </w:pPr>
      <w:r>
        <w:rPr>
          <w:color w:val="0F766E"/>
          <w:sz w:val="24"/>
        </w:rPr>
        <w:t>Automation must earn reality</w:t>
      </w:r>
    </w:p>
    <w:p>
      <w:pPr>
        <w:spacing w:after="180"/>
      </w:pPr>
      <w:r>
        <w:rPr>
          <w:b/>
          <w:color w:val="111827"/>
          <w:sz w:val="30"/>
        </w:rPr>
        <w:t>Payment Webhook Replay Proof Professional Export Package</w:t>
      </w:r>
    </w:p>
    <w:p>
      <w:pPr>
        <w:spacing w:after="120"/>
      </w:pPr>
      <w:r>
        <w:rPr>
          <w:color w:val="4B5563"/>
          <w:sz w:val="22"/>
        </w:rPr>
        <w:t>Generated locally as customer-facing assurance evidence only; not certification, compliance attestation, or permission to execute. Office/PDF binary rendering can be added to the desktop bundle using these canonical sections.</w:t>
      </w:r>
    </w:p>
    <w:p>
      <w:pPr>
        <w:spacing w:after="180"/>
      </w:pPr>
      <w:r>
        <w:rPr>
          <w:b/>
          <w:color w:val="111827"/>
          <w:sz w:val="30"/>
        </w:rPr>
        <w:t>Board Decision</w:t>
      </w:r>
    </w:p>
    <w:p>
      <w:pPr>
        <w:spacing w:after="120"/>
      </w:pPr>
      <w:r>
        <w:rPr>
          <w:color w:val="4B5563"/>
          <w:sz w:val="22"/>
        </w:rPr>
        <w:t>Approve only after owner actions, rollback, connector scope, and residual findings are accepted.</w:t>
      </w:r>
    </w:p>
    <w:p>
      <w:pPr>
        <w:spacing w:after="180"/>
      </w:pPr>
      <w:r>
        <w:rPr>
          <w:b/>
          <w:color w:val="111827"/>
          <w:sz w:val="30"/>
        </w:rPr>
        <w:t>Executive Summary</w:t>
      </w:r>
    </w:p>
    <w:p>
      <w:pPr>
        <w:spacing w:after="120"/>
      </w:pPr>
      <w:r>
        <w:rPr>
          <w:color w:val="4B5563"/>
          <w:sz w:val="22"/>
        </w:rPr>
        <w:t>AsyncAPI, Kafka/NATS/MQTT/WebSockets, CloudEvents, replay timelines, schema evolution, and DLQ evidence.</w:t>
      </w:r>
    </w:p>
    <w:p>
      <w:pPr>
        <w:spacing w:after="180"/>
      </w:pPr>
      <w:r>
        <w:rPr>
          <w:b/>
          <w:color w:val="111827"/>
          <w:sz w:val="30"/>
        </w:rPr>
        <w:t>Executive Visual One-Pager</w:t>
      </w:r>
    </w:p>
    <w:p>
      <w:pPr>
        <w:spacing w:after="120"/>
      </w:pPr>
      <w:r>
        <w:rPr>
          <w:color w:val="4B5563"/>
          <w:sz w:val="22"/>
        </w:rPr>
        <w:t>Payment Webhook Replay Proof: 84% assurance evidence readiness with proof gates before execution</w:t>
      </w:r>
    </w:p>
    <w:p>
      <w:pPr>
        <w:spacing w:after="180"/>
      </w:pPr>
      <w:r>
        <w:rPr>
          <w:b/>
          <w:color w:val="111827"/>
          <w:sz w:val="30"/>
        </w:rPr>
        <w:t>Before</w:t>
      </w:r>
    </w:p>
    <w:p>
      <w:pPr>
        <w:spacing w:after="120"/>
      </w:pPr>
      <w:r>
        <w:rPr>
          <w:color w:val="4B5563"/>
          <w:sz w:val="22"/>
        </w:rPr>
        <w:t>The user requested automation for Payment Webhook Replay Proof: AsyncAPI, Kafka/NATS/MQTT/WebSockets, CloudEvents, replay timelines, schema evolution, and DLQ evidence.</w:t>
      </w:r>
    </w:p>
    <w:p>
      <w:pPr>
        <w:spacing w:after="180"/>
      </w:pPr>
      <w:r>
        <w:rPr>
          <w:b/>
          <w:color w:val="111827"/>
          <w:sz w:val="30"/>
        </w:rPr>
        <w:t>Caught</w:t>
      </w:r>
    </w:p>
    <w:p>
      <w:pPr>
        <w:spacing w:after="120"/>
      </w:pPr>
      <w:r>
        <w:rPr>
          <w:color w:val="4B5563"/>
          <w:sz w:val="22"/>
        </w:rPr>
        <w:t>CircuitProof checked validation, simulation, stress, connectors, and policy boundaries. It caught: No critical failure escaped the current stress run.</w:t>
      </w:r>
    </w:p>
    <w:p>
      <w:pPr>
        <w:spacing w:after="180"/>
      </w:pPr>
      <w:r>
        <w:rPr>
          <w:b/>
          <w:color w:val="111827"/>
          <w:sz w:val="30"/>
        </w:rPr>
        <w:t>Repaired</w:t>
      </w:r>
    </w:p>
    <w:p>
      <w:pPr>
        <w:spacing w:after="120"/>
      </w:pPr>
      <w:r>
        <w:rPr>
          <w:color w:val="4B5563"/>
          <w:sz w:val="22"/>
        </w:rPr>
        <w:t>CircuitProof links each weak point to a proof gate, repair action, owner decision, and rollback check before execution.</w:t>
      </w:r>
    </w:p>
    <w:p>
      <w:pPr>
        <w:spacing w:after="180"/>
      </w:pPr>
      <w:r>
        <w:rPr>
          <w:b/>
          <w:color w:val="111827"/>
          <w:sz w:val="30"/>
        </w:rPr>
        <w:t>Approved</w:t>
      </w:r>
    </w:p>
    <w:p>
      <w:pPr>
        <w:spacing w:after="120"/>
      </w:pPr>
      <w:r>
        <w:rPr>
          <w:color w:val="4B5563"/>
          <w:sz w:val="22"/>
        </w:rPr>
        <w:t>Release remains approval-gated at 100% readiness with 1 validation findings and 18 simulated items processed.</w:t>
      </w:r>
    </w:p>
    <w:p>
      <w:pPr>
        <w:spacing w:after="180"/>
      </w:pPr>
      <w:r>
        <w:rPr>
          <w:b/>
          <w:color w:val="111827"/>
          <w:sz w:val="30"/>
        </w:rPr>
        <w:t>Exported</w:t>
      </w:r>
    </w:p>
    <w:p>
      <w:pPr>
        <w:spacing w:after="120"/>
      </w:pPr>
      <w:r>
        <w:rPr>
          <w:color w:val="4B5563"/>
          <w:sz w:val="22"/>
        </w:rPr>
        <w:t>The package exports executive summary, proof matrix, failure table, permission map, compliance evidence, rollback plan, and hash manifest.</w:t>
      </w:r>
    </w:p>
    <w:p>
      <w:pPr>
        <w:spacing w:after="180"/>
      </w:pPr>
      <w:r>
        <w:rPr>
          <w:b/>
          <w:color w:val="111827"/>
          <w:sz w:val="30"/>
        </w:rPr>
        <w:t>Automation Scope</w:t>
      </w:r>
    </w:p>
    <w:p>
      <w:pPr>
        <w:spacing w:after="120"/>
      </w:pPr>
      <w:r>
        <w:rPr>
          <w:color w:val="4B5563"/>
          <w:sz w:val="22"/>
        </w:rPr>
        <w:t>10 components, 12 connections, domain factory.</w:t>
      </w:r>
    </w:p>
    <w:p>
      <w:pPr>
        <w:spacing w:after="180"/>
      </w:pPr>
      <w:r>
        <w:rPr>
          <w:b/>
          <w:color w:val="111827"/>
          <w:sz w:val="30"/>
        </w:rPr>
        <w:t>Assumptions</w:t>
      </w:r>
    </w:p>
    <w:p>
      <w:pPr>
        <w:spacing w:after="120"/>
      </w:pPr>
      <w:r>
        <w:rPr>
          <w:color w:val="4B5563"/>
          <w:sz w:val="22"/>
        </w:rPr>
        <w:t>5 assumptions captured with confidence levels and release implications.</w:t>
      </w:r>
    </w:p>
    <w:p>
      <w:pPr>
        <w:spacing w:after="180"/>
      </w:pPr>
      <w:r>
        <w:rPr>
          <w:b/>
          <w:color w:val="111827"/>
          <w:sz w:val="30"/>
        </w:rPr>
        <w:t>Test Matrix</w:t>
      </w:r>
    </w:p>
    <w:p>
      <w:pPr>
        <w:spacing w:after="120"/>
      </w:pPr>
      <w:r>
        <w:rPr>
          <w:color w:val="4B5563"/>
          <w:sz w:val="22"/>
        </w:rPr>
        <w:t>6 proof gates connect validation, simulation, stress, repair, and release decisions.</w:t>
      </w:r>
    </w:p>
    <w:p>
      <w:pPr>
        <w:spacing w:after="180"/>
      </w:pPr>
      <w:r>
        <w:rPr>
          <w:b/>
          <w:color w:val="111827"/>
          <w:sz w:val="30"/>
        </w:rPr>
        <w:t>Failure Table</w:t>
      </w:r>
    </w:p>
    <w:p>
      <w:pPr>
        <w:spacing w:after="120"/>
      </w:pPr>
      <w:r>
        <w:rPr>
          <w:color w:val="4B5563"/>
          <w:sz w:val="22"/>
        </w:rPr>
        <w:t>0 realistic failure records are available for repair and approval review.</w:t>
      </w:r>
    </w:p>
    <w:p>
      <w:pPr>
        <w:spacing w:after="180"/>
      </w:pPr>
      <w:r>
        <w:rPr>
          <w:b/>
          <w:color w:val="111827"/>
          <w:sz w:val="30"/>
        </w:rPr>
        <w:t>Validation Findings</w:t>
      </w:r>
    </w:p>
    <w:p>
      <w:pPr>
        <w:spacing w:after="120"/>
      </w:pPr>
      <w:r>
        <w:rPr>
          <w:color w:val="4B5563"/>
          <w:sz w:val="22"/>
        </w:rPr>
        <w:t>1 findings require review.</w:t>
      </w:r>
    </w:p>
    <w:p>
      <w:pPr>
        <w:spacing w:after="180"/>
      </w:pPr>
      <w:r>
        <w:rPr>
          <w:b/>
          <w:color w:val="111827"/>
          <w:sz w:val="30"/>
        </w:rPr>
        <w:t>Simulation Evidence</w:t>
      </w:r>
    </w:p>
    <w:p>
      <w:pPr>
        <w:spacing w:after="120"/>
      </w:pPr>
      <w:r>
        <w:rPr>
          <w:color w:val="4B5563"/>
          <w:sz w:val="22"/>
        </w:rPr>
        <w:t>Throughput 1440/hour, processed 18, failed 4.</w:t>
      </w:r>
    </w:p>
    <w:p>
      <w:pPr>
        <w:spacing w:after="180"/>
      </w:pPr>
      <w:r>
        <w:rPr>
          <w:b/>
          <w:color w:val="111827"/>
          <w:sz w:val="30"/>
        </w:rPr>
        <w:t>Stress Evidence</w:t>
      </w:r>
    </w:p>
    <w:p>
      <w:pPr>
        <w:spacing w:after="120"/>
      </w:pPr>
      <w:r>
        <w:rPr>
          <w:color w:val="4B5563"/>
          <w:sz w:val="22"/>
        </w:rPr>
        <w:t>Readiness 100% across 100 scenarios.</w:t>
      </w:r>
    </w:p>
    <w:p>
      <w:pPr>
        <w:spacing w:after="180"/>
      </w:pPr>
      <w:r>
        <w:rPr>
          <w:b/>
          <w:color w:val="111827"/>
          <w:sz w:val="30"/>
        </w:rPr>
        <w:t>Traceability Matrix</w:t>
      </w:r>
    </w:p>
    <w:p>
      <w:pPr>
        <w:spacing w:after="120"/>
      </w:pPr>
      <w:r>
        <w:rPr>
          <w:color w:val="4B5563"/>
          <w:sz w:val="22"/>
        </w:rPr>
        <w:t>Each component is linked to capabilities, proof gates, assumptions, failure modes, and release evidence in the spreadsheet and JSON twin.</w:t>
      </w:r>
    </w:p>
    <w:p>
      <w:pPr>
        <w:spacing w:after="180"/>
      </w:pPr>
      <w:r>
        <w:rPr>
          <w:b/>
          <w:color w:val="111827"/>
          <w:sz w:val="30"/>
        </w:rPr>
        <w:t>Approval Record</w:t>
      </w:r>
    </w:p>
    <w:p>
      <w:pPr>
        <w:spacing w:after="120"/>
      </w:pPr>
      <w:r>
        <w:rPr>
          <w:color w:val="4B5563"/>
          <w:sz w:val="22"/>
        </w:rPr>
        <w:t>Owner approval, connector scope, side-effect class, and signer evidence must be captured before execution.</w:t>
      </w:r>
    </w:p>
    <w:p>
      <w:pPr>
        <w:spacing w:after="180"/>
      </w:pPr>
      <w:r>
        <w:rPr>
          <w:b/>
          <w:color w:val="111827"/>
          <w:sz w:val="30"/>
        </w:rPr>
        <w:t>Rollback Plan</w:t>
      </w:r>
    </w:p>
    <w:p>
      <w:pPr>
        <w:spacing w:after="120"/>
      </w:pPr>
      <w:r>
        <w:rPr>
          <w:color w:val="4B5563"/>
          <w:sz w:val="22"/>
        </w:rPr>
        <w:t>Each connector action must include a rollback instruction, verification check, and evidence owner.</w:t>
      </w:r>
    </w:p>
    <w:p>
      <w:pPr>
        <w:spacing w:after="180"/>
      </w:pPr>
      <w:r>
        <w:rPr>
          <w:b/>
          <w:color w:val="111827"/>
          <w:sz w:val="30"/>
        </w:rPr>
        <w:t>Agent-to-App Permission Map</w:t>
      </w:r>
    </w:p>
    <w:p>
      <w:pPr>
        <w:spacing w:after="120"/>
      </w:pPr>
      <w:r>
        <w:rPr>
          <w:color w:val="4B5563"/>
          <w:sz w:val="22"/>
        </w:rPr>
        <w:t>6 agent, app, scope, blocked-action, and owner rows are included for approval review.</w:t>
      </w:r>
    </w:p>
    <w:p>
      <w:pPr>
        <w:spacing w:after="180"/>
      </w:pPr>
      <w:r>
        <w:rPr>
          <w:b/>
          <w:color w:val="111827"/>
          <w:sz w:val="30"/>
        </w:rPr>
        <w:t>Compliance Evidence Mapping</w:t>
      </w:r>
    </w:p>
    <w:p>
      <w:pPr>
        <w:spacing w:after="120"/>
      </w:pPr>
      <w:r>
        <w:rPr>
          <w:color w:val="4B5563"/>
          <w:sz w:val="22"/>
        </w:rPr>
        <w:t>5 assurance evidence mappings included: NIST AI RMF, OWASP Agentic/MCP, IEC 62443, SOC2-style, and enterprise change-control.</w:t>
      </w:r>
    </w:p>
    <w:p>
      <w:pPr>
        <w:spacing w:after="180"/>
      </w:pPr>
      <w:r>
        <w:rPr>
          <w:b/>
          <w:color w:val="111827"/>
          <w:sz w:val="30"/>
        </w:rPr>
        <w:t>Owner Action Tasks</w:t>
      </w:r>
    </w:p>
    <w:p>
      <w:pPr>
        <w:spacing w:after="120"/>
      </w:pPr>
      <w:r>
        <w:rPr>
          <w:color w:val="4B5563"/>
          <w:sz w:val="22"/>
        </w:rPr>
        <w:t>5 owner actions remain visible for vault, connector, approval, rollback, and export readiness.</w:t>
      </w:r>
    </w:p>
    <w:p>
      <w:pPr>
        <w:spacing w:after="180"/>
      </w:pPr>
      <w:r>
        <w:rPr>
          <w:b/>
          <w:color w:val="111827"/>
          <w:sz w:val="30"/>
        </w:rPr>
        <w:t>Pitch Narrative</w:t>
      </w:r>
    </w:p>
    <w:p>
      <w:pPr>
        <w:spacing w:after="120"/>
      </w:pPr>
      <w:r>
        <w:rPr>
          <w:color w:val="4B5563"/>
          <w:sz w:val="22"/>
        </w:rPr>
        <w:t>CircuitProof turns the requested automation, Payment Webhook Replay Proof, into a board-ready proof story: before automation, what was caught, how it was repaired, what remains approval-gated, and which evidence was exported. The pitch emphasizes business outcome, risk avoided, owner actions, connector boundaries, and traceable proof artifacts.</w:t>
      </w:r>
    </w:p>
    <w:p>
      <w:pPr>
        <w:spacing w:after="180"/>
      </w:pPr>
      <w:r>
        <w:rPr>
          <w:b/>
          <w:color w:val="111827"/>
          <w:sz w:val="30"/>
        </w:rPr>
        <w:t>Analytics Dashboard</w:t>
      </w:r>
    </w:p>
    <w:p>
      <w:pPr>
        <w:spacing w:after="120"/>
      </w:pPr>
      <w:r>
        <w:rPr>
          <w:color w:val="4B5563"/>
          <w:sz w:val="22"/>
        </w:rPr>
        <w:t>5 charts summarize readiness, proof coverage, risk mix, execution boundary, and ROI assumptions.</w:t>
      </w:r>
    </w:p>
    <w:p>
      <w:pPr>
        <w:spacing w:after="180"/>
      </w:pPr>
      <w:r>
        <w:rPr>
          <w:b/>
          <w:color w:val="111827"/>
          <w:sz w:val="30"/>
        </w:rPr>
        <w:t>Assurance Score Explanation</w:t>
      </w:r>
    </w:p>
    <w:p>
      <w:pPr>
        <w:spacing w:after="120"/>
      </w:pPr>
      <w:r>
        <w:rPr>
          <w:color w:val="4B5563"/>
          <w:sz w:val="22"/>
        </w:rPr>
        <w:t>The assurance score is a review aid, not certification. It blends validation, stress readiness, rollback coverage, approval completeness, connector policy, and evidence provenance so reviewers can see why a workflow is ready, risky, or blocked.</w:t>
      </w:r>
    </w:p>
    <w:p>
      <w:pPr>
        <w:spacing w:after="180"/>
      </w:pPr>
      <w:r>
        <w:rPr>
          <w:b/>
          <w:color w:val="111827"/>
          <w:sz w:val="30"/>
        </w:rPr>
        <w:t>Board-Ready Proof Pack</w:t>
      </w:r>
    </w:p>
    <w:p>
      <w:pPr>
        <w:spacing w:after="120"/>
      </w:pPr>
      <w:r>
        <w:rPr>
          <w:color w:val="4B5563"/>
          <w:sz w:val="22"/>
        </w:rPr>
        <w:t>Includes 11 board-review sections, 5 visuals, and 4 owner blockers.</w:t>
      </w:r>
    </w:p>
    <w:p>
      <w:pPr>
        <w:spacing w:after="180"/>
      </w:pPr>
      <w:r>
        <w:rPr>
          <w:b/>
          <w:color w:val="111827"/>
          <w:sz w:val="30"/>
        </w:rPr>
        <w:t>Document Provenance</w:t>
      </w:r>
    </w:p>
    <w:p>
      <w:pPr>
        <w:spacing w:after="120"/>
      </w:pPr>
      <w:r>
        <w:rPr>
          <w:color w:val="4B5563"/>
          <w:sz w:val="22"/>
        </w:rPr>
        <w:t>0 uploaded or referenced files are traced into requirements, assumptions, proof gates, and blocked claims.</w:t>
      </w:r>
    </w:p>
    <w:p>
      <w:pPr>
        <w:spacing w:after="180"/>
      </w:pPr>
      <w:r>
        <w:rPr>
          <w:b/>
          <w:color w:val="111827"/>
          <w:sz w:val="30"/>
        </w:rPr>
        <w:t>Graph Package</w:t>
      </w:r>
    </w:p>
    <w:p>
      <w:pPr>
        <w:spacing w:after="120"/>
      </w:pPr>
      <w:r>
        <w:rPr>
          <w:color w:val="4B5563"/>
          <w:sz w:val="22"/>
        </w:rPr>
        <w:t>2 Mermaid diagrams and 5 chart specs are included for review decks and analyst handoff.</w:t>
      </w:r>
    </w:p>
    <w:p>
      <w:pPr>
        <w:spacing w:after="180"/>
      </w:pPr>
      <w:r>
        <w:rPr>
          <w:b/>
          <w:color w:val="111827"/>
          <w:sz w:val="30"/>
        </w:rPr>
        <w:t>Hash Manifest</w:t>
      </w:r>
    </w:p>
    <w:p>
      <w:pPr>
        <w:spacing w:after="120"/>
      </w:pPr>
      <w:r>
        <w:rPr>
          <w:color w:val="4B5563"/>
          <w:sz w:val="22"/>
        </w:rPr>
        <w:t>Canonical export hash: fd2cbf486fea6bd7351d61985247f5c18dc0187c00c45cae40264dd0ab954d36.</w:t>
      </w:r>
    </w:p>
    <w:p>
      <w:pPr>
        <w:spacing w:after="180"/>
      </w:pPr>
      <w:r>
        <w:rPr>
          <w:b/>
          <w:color w:val="111827"/>
          <w:sz w:val="30"/>
        </w:rPr>
        <w:t>Release Decision</w:t>
      </w:r>
    </w:p>
    <w:p>
      <w:pPr>
        <w:spacing w:after="120"/>
      </w:pPr>
      <w:r>
        <w:rPr>
          <w:color w:val="4B5563"/>
          <w:sz w:val="22"/>
        </w:rPr>
        <w:t>Release is blocked until unresolved findings, real connector approvals, rollback evidence, and owner sign-off are complete.</w:t>
      </w:r>
    </w:p>
    <w:p>
      <w:pPr>
        <w:spacing w:after="180"/>
      </w:pPr>
      <w:r>
        <w:rPr>
          <w:b/>
          <w:color w:val="111827"/>
          <w:sz w:val="30"/>
        </w:rPr>
        <w:t>Human Approval Boundary</w:t>
      </w:r>
    </w:p>
    <w:p>
      <w:pPr>
        <w:spacing w:after="120"/>
      </w:pPr>
      <w:r>
        <w:rPr>
          <w:color w:val="4B5563"/>
          <w:sz w:val="22"/>
        </w:rPr>
        <w:t>All external writes, hardware actions, and release decisions remain approval gated.</w:t>
      </w:r>
    </w:p>
    <w:p>
      <w:pPr>
        <w:spacing w:after="180"/>
      </w:pPr>
      <w:r>
        <w:rPr>
          <w:b/>
          <w:color w:val="111827"/>
          <w:sz w:val="30"/>
        </w:rPr>
        <w:t>Compliance Language</w:t>
      </w:r>
    </w:p>
    <w:p>
      <w:pPr>
        <w:spacing w:after="120"/>
      </w:pPr>
      <w:r>
        <w:rPr>
          <w:color w:val="4B5563"/>
          <w:sz w:val="22"/>
        </w:rPr>
        <w:t>This package provides assurance evidence for human review. It is not certification, compliance attestation, or permission to execute.</w:t>
      </w:r>
    </w:p>
    <w:sectPr/>
  </w:body>
</w:document>
</file>